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45A6" w14:textId="285B6D14" w:rsidR="00B35F47" w:rsidRDefault="00B35F47" w:rsidP="00B35F47">
      <w:pPr>
        <w:spacing w:after="120" w:line="240" w:lineRule="auto"/>
        <w:jc w:val="both"/>
        <w:rPr>
          <w:rFonts w:ascii="Effra Heavy" w:hAnsi="Effra Heavy" w:cs="Effra Heavy"/>
          <w:b/>
          <w:bCs/>
          <w:color w:val="000433"/>
        </w:rPr>
      </w:pPr>
      <w:r>
        <w:rPr>
          <w:rFonts w:ascii="Effra Heavy" w:hAnsi="Effra Heavy" w:cs="Effra Heavy"/>
          <w:b/>
          <w:bCs/>
          <w:color w:val="000433"/>
        </w:rPr>
        <w:t>RIGHTMO</w:t>
      </w:r>
      <w:r w:rsidR="00535344">
        <w:rPr>
          <w:rFonts w:ascii="Effra Heavy" w:hAnsi="Effra Heavy" w:cs="Effra Heavy"/>
          <w:b/>
          <w:bCs/>
          <w:color w:val="000433"/>
        </w:rPr>
        <w:t>V</w:t>
      </w:r>
      <w:r>
        <w:rPr>
          <w:rFonts w:ascii="Effra Heavy" w:hAnsi="Effra Heavy" w:cs="Effra Heavy"/>
          <w:b/>
          <w:bCs/>
          <w:color w:val="000433"/>
        </w:rPr>
        <w:t xml:space="preserve">E PLC </w:t>
      </w:r>
    </w:p>
    <w:p w14:paraId="605B48B3" w14:textId="08A0B57A" w:rsidR="00B35F47" w:rsidRPr="008C1D36" w:rsidRDefault="00B35F47" w:rsidP="00B35F47">
      <w:pPr>
        <w:spacing w:after="120" w:line="240" w:lineRule="auto"/>
        <w:jc w:val="both"/>
        <w:rPr>
          <w:rFonts w:ascii="Effra Heavy" w:hAnsi="Effra Heavy" w:cs="Effra Heavy"/>
          <w:b/>
          <w:bCs/>
          <w:color w:val="000433"/>
        </w:rPr>
      </w:pPr>
      <w:r>
        <w:rPr>
          <w:rFonts w:ascii="Effra Heavy" w:hAnsi="Effra Heavy" w:cs="Effra Heavy"/>
          <w:b/>
          <w:bCs/>
          <w:color w:val="000433"/>
        </w:rPr>
        <w:t>s430(2B) Companies Act 2006 Statement – Alison Dolan declaration</w:t>
      </w:r>
    </w:p>
    <w:p w14:paraId="2900DE02" w14:textId="77777777" w:rsidR="00B35F47" w:rsidRDefault="00B35F47" w:rsidP="00B35F47">
      <w:pPr>
        <w:spacing w:after="120" w:line="240" w:lineRule="auto"/>
        <w:jc w:val="both"/>
        <w:rPr>
          <w:rFonts w:ascii="Effra Light" w:hAnsi="Effra Light" w:cs="Effra Light"/>
          <w:color w:val="000433"/>
        </w:rPr>
      </w:pPr>
      <w:r w:rsidRPr="225051DD">
        <w:rPr>
          <w:rFonts w:ascii="Effra Light" w:hAnsi="Effra Light" w:cs="Effra Light"/>
          <w:color w:val="000433"/>
        </w:rPr>
        <w:t>As announced on 7 August 2024, Alison Dolan will step down from the Board of Rightmove plc (the “Company” or “Rightmove”) and her role as Chief Financial Officer with effect from 15 September 2024.</w:t>
      </w:r>
    </w:p>
    <w:p w14:paraId="2151CA8B"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 xml:space="preserve">In line with the requirements of section 430(2B) of the Companies Act 2006, we set out below the details of the remuneration paid or to be paid to Alison. All payments are in line with the Directors’ Remuneration Policy as approved by shareholders at </w:t>
      </w:r>
      <w:r w:rsidRPr="00EC6C9F">
        <w:rPr>
          <w:rFonts w:ascii="Effra Light" w:hAnsi="Effra Light" w:cs="Effra Light"/>
          <w:color w:val="000433"/>
        </w:rPr>
        <w:t>the 2023 Annu</w:t>
      </w:r>
      <w:r>
        <w:rPr>
          <w:rFonts w:ascii="Effra Light" w:hAnsi="Effra Light" w:cs="Effra Light"/>
          <w:color w:val="000433"/>
        </w:rPr>
        <w:t>al General Meeting.</w:t>
      </w:r>
    </w:p>
    <w:p w14:paraId="59D40BD7"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The relevant remuneration details will be included in the Directors’ Remuneration Report in the Company’s Annual Report and Accounts for 2024. In accordance with section 430(2B) of the Companies Act 2006, the information below will be made available on the Company’s website until the next Directors’ Remuneration Report is published.</w:t>
      </w:r>
    </w:p>
    <w:p w14:paraId="36D70CAD" w14:textId="77777777" w:rsidR="00B35F47" w:rsidRPr="00650E8C" w:rsidRDefault="00B35F47" w:rsidP="00B35F47">
      <w:pPr>
        <w:spacing w:after="120" w:line="240" w:lineRule="auto"/>
        <w:jc w:val="both"/>
        <w:rPr>
          <w:rFonts w:ascii="Effra Heavy" w:hAnsi="Effra Heavy" w:cs="Effra Heavy"/>
          <w:b/>
          <w:bCs/>
          <w:color w:val="000433"/>
          <w:u w:val="single"/>
        </w:rPr>
      </w:pPr>
      <w:r w:rsidRPr="00650E8C">
        <w:rPr>
          <w:rFonts w:ascii="Effra Heavy" w:hAnsi="Effra Heavy" w:cs="Effra Heavy"/>
          <w:b/>
          <w:bCs/>
          <w:color w:val="000433"/>
          <w:u w:val="single"/>
        </w:rPr>
        <w:t>Salary, benefits and pension</w:t>
      </w:r>
    </w:p>
    <w:p w14:paraId="730E0CF4" w14:textId="77777777" w:rsidR="00B35F47" w:rsidRDefault="00B35F47" w:rsidP="00B35F47">
      <w:pPr>
        <w:spacing w:after="120" w:line="240" w:lineRule="auto"/>
        <w:jc w:val="both"/>
        <w:rPr>
          <w:rFonts w:ascii="Effra Light" w:hAnsi="Effra Light" w:cs="Effra Light"/>
          <w:color w:val="000433"/>
        </w:rPr>
      </w:pPr>
      <w:r w:rsidRPr="68A3BCEB">
        <w:rPr>
          <w:rFonts w:ascii="Effra Light" w:hAnsi="Effra Light" w:cs="Effra Light"/>
          <w:color w:val="000433"/>
        </w:rPr>
        <w:t xml:space="preserve">After stepping down from the Board and her role as Chief Financial Officer, Alison will remain an employee of Rightmove for a period to support with the orderly handover to her successor, Ruaridh Hook. Her employment will </w:t>
      </w:r>
      <w:r w:rsidRPr="000E15A5">
        <w:rPr>
          <w:rFonts w:ascii="Effra Light" w:hAnsi="Effra Light" w:cs="Effra Light"/>
          <w:color w:val="000433"/>
        </w:rPr>
        <w:t>end on 30</w:t>
      </w:r>
      <w:r w:rsidRPr="000E15A5">
        <w:rPr>
          <w:rFonts w:ascii="Effra Light" w:hAnsi="Effra Light" w:cs="Effra Light"/>
          <w:color w:val="000433"/>
          <w:vertAlign w:val="superscript"/>
        </w:rPr>
        <w:t>th</w:t>
      </w:r>
      <w:r w:rsidRPr="000E15A5">
        <w:rPr>
          <w:rFonts w:ascii="Effra Light" w:hAnsi="Effra Light" w:cs="Effra Light"/>
          <w:color w:val="000433"/>
        </w:rPr>
        <w:t xml:space="preserve"> September 2024 (the “end</w:t>
      </w:r>
      <w:r w:rsidRPr="68A3BCEB">
        <w:rPr>
          <w:rFonts w:ascii="Effra Light" w:hAnsi="Effra Light" w:cs="Effra Light"/>
          <w:color w:val="000433"/>
        </w:rPr>
        <w:t xml:space="preserve"> date”).</w:t>
      </w:r>
    </w:p>
    <w:p w14:paraId="7D13F11C"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Alison shall continue to receive her salary, benefits and pension until this date. Following the end date, no further payments will be made to Alison with respect to her employment.</w:t>
      </w:r>
    </w:p>
    <w:p w14:paraId="0115C4C6" w14:textId="77777777" w:rsidR="00B35F47" w:rsidRPr="00650E8C" w:rsidRDefault="00B35F47" w:rsidP="00B35F47">
      <w:pPr>
        <w:spacing w:after="120" w:line="240" w:lineRule="auto"/>
        <w:jc w:val="both"/>
        <w:rPr>
          <w:rFonts w:ascii="Effra Heavy" w:hAnsi="Effra Heavy" w:cs="Effra Heavy"/>
          <w:b/>
          <w:bCs/>
          <w:color w:val="000433"/>
          <w:u w:val="single"/>
        </w:rPr>
      </w:pPr>
      <w:r w:rsidRPr="00650E8C">
        <w:rPr>
          <w:rFonts w:ascii="Effra Heavy" w:hAnsi="Effra Heavy" w:cs="Effra Heavy"/>
          <w:b/>
          <w:bCs/>
          <w:color w:val="000433"/>
          <w:u w:val="single"/>
        </w:rPr>
        <w:t>Annual Bonus</w:t>
      </w:r>
    </w:p>
    <w:p w14:paraId="3B2A8E50"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In line with the Directors’ Remuneration Policy, Alison shall not be entitled to receive an Annual Bonus for 2024.</w:t>
      </w:r>
    </w:p>
    <w:p w14:paraId="6AA2573F"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Any element of previous Annual Bonus awards which have been deferred under the Deferred Share Bonus Plan (“DSBP”) and which are unvested on the end date shall lapse on that date.</w:t>
      </w:r>
    </w:p>
    <w:p w14:paraId="70F9FC6D" w14:textId="77777777" w:rsidR="00B35F47" w:rsidRPr="00650E8C" w:rsidRDefault="00B35F47" w:rsidP="00B35F47">
      <w:pPr>
        <w:spacing w:after="120" w:line="240" w:lineRule="auto"/>
        <w:jc w:val="both"/>
        <w:rPr>
          <w:rFonts w:ascii="Effra Heavy" w:hAnsi="Effra Heavy" w:cs="Effra Heavy"/>
          <w:b/>
          <w:bCs/>
          <w:color w:val="000433"/>
          <w:u w:val="single"/>
        </w:rPr>
      </w:pPr>
      <w:r w:rsidRPr="00650E8C">
        <w:rPr>
          <w:rFonts w:ascii="Effra Heavy" w:hAnsi="Effra Heavy" w:cs="Effra Heavy"/>
          <w:b/>
          <w:bCs/>
          <w:color w:val="000433"/>
          <w:u w:val="single"/>
        </w:rPr>
        <w:t>Performance Share Plan (“PSP”)</w:t>
      </w:r>
    </w:p>
    <w:p w14:paraId="4155DB0F"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All awards under the PSP which are unvested on the end date shall lapse on that date. Vested awards which remain in their post-vesting holding period will not lapse and will be released in line with the original schedule, subject also to the application of the shareholding guideline.</w:t>
      </w:r>
    </w:p>
    <w:p w14:paraId="15C192DD" w14:textId="77777777" w:rsidR="00B35F47" w:rsidRPr="00650E8C" w:rsidRDefault="00B35F47" w:rsidP="00B35F47">
      <w:pPr>
        <w:spacing w:after="120" w:line="240" w:lineRule="auto"/>
        <w:jc w:val="both"/>
        <w:rPr>
          <w:rFonts w:ascii="Effra Heavy" w:hAnsi="Effra Heavy" w:cs="Effra Heavy"/>
          <w:b/>
          <w:bCs/>
          <w:color w:val="000433"/>
          <w:u w:val="single"/>
        </w:rPr>
      </w:pPr>
      <w:r w:rsidRPr="00650E8C">
        <w:rPr>
          <w:rFonts w:ascii="Effra Heavy" w:hAnsi="Effra Heavy" w:cs="Effra Heavy"/>
          <w:b/>
          <w:bCs/>
          <w:color w:val="000433"/>
          <w:u w:val="single"/>
        </w:rPr>
        <w:t>All-employee share plans</w:t>
      </w:r>
    </w:p>
    <w:p w14:paraId="3E2BD58B"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Any options associated with active savings contracts under Sharesave as at the end date shall lapse on that date.</w:t>
      </w:r>
    </w:p>
    <w:p w14:paraId="32AC043F" w14:textId="77777777" w:rsidR="00B35F47"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All awards of free shares under the Share Incentive Plan (“SIP”) which are unvested on the end date shall lapse on that date.</w:t>
      </w:r>
    </w:p>
    <w:p w14:paraId="0C2BBB0F" w14:textId="77777777" w:rsidR="00B35F47" w:rsidRPr="00650E8C" w:rsidRDefault="00B35F47" w:rsidP="00B35F47">
      <w:pPr>
        <w:spacing w:after="120" w:line="240" w:lineRule="auto"/>
        <w:jc w:val="both"/>
        <w:rPr>
          <w:rFonts w:ascii="Effra Heavy" w:hAnsi="Effra Heavy" w:cs="Effra Heavy"/>
          <w:b/>
          <w:bCs/>
          <w:color w:val="000433"/>
          <w:u w:val="single"/>
        </w:rPr>
      </w:pPr>
      <w:r w:rsidRPr="00650E8C">
        <w:rPr>
          <w:rFonts w:ascii="Effra Heavy" w:hAnsi="Effra Heavy" w:cs="Effra Heavy"/>
          <w:b/>
          <w:bCs/>
          <w:color w:val="000433"/>
          <w:u w:val="single"/>
        </w:rPr>
        <w:t>Shareholding guideline</w:t>
      </w:r>
    </w:p>
    <w:p w14:paraId="04B3DD95" w14:textId="77777777" w:rsidR="00B35F47" w:rsidRPr="009A69A4" w:rsidRDefault="00B35F47" w:rsidP="00B35F47">
      <w:pPr>
        <w:spacing w:after="120" w:line="240" w:lineRule="auto"/>
        <w:jc w:val="both"/>
        <w:rPr>
          <w:rFonts w:ascii="Effra Light" w:hAnsi="Effra Light" w:cs="Effra Light"/>
          <w:color w:val="000433"/>
        </w:rPr>
      </w:pPr>
      <w:r>
        <w:rPr>
          <w:rFonts w:ascii="Effra Light" w:hAnsi="Effra Light" w:cs="Effra Light"/>
          <w:color w:val="000433"/>
        </w:rPr>
        <w:t xml:space="preserve">In line with the shareholding guideline, Alison will be required to hold </w:t>
      </w:r>
      <w:r w:rsidRPr="00282BCF">
        <w:rPr>
          <w:rFonts w:ascii="Effra Light" w:hAnsi="Effra Light" w:cs="Effra Light"/>
          <w:color w:val="000433"/>
        </w:rPr>
        <w:t>the lower of (</w:t>
      </w:r>
      <w:proofErr w:type="spellStart"/>
      <w:r w:rsidRPr="00282BCF">
        <w:rPr>
          <w:rFonts w:ascii="Effra Light" w:hAnsi="Effra Light" w:cs="Effra Light"/>
          <w:color w:val="000433"/>
        </w:rPr>
        <w:t>i</w:t>
      </w:r>
      <w:proofErr w:type="spellEnd"/>
      <w:r w:rsidRPr="00282BCF">
        <w:rPr>
          <w:rFonts w:ascii="Effra Light" w:hAnsi="Effra Light" w:cs="Effra Light"/>
          <w:color w:val="000433"/>
        </w:rPr>
        <w:t>) the guideline (200% of salary for the first year and 100% of salary in the second year), or (ii) Alison’s actual shareholding at the date of departure.</w:t>
      </w:r>
    </w:p>
    <w:p w14:paraId="6669635C" w14:textId="77777777" w:rsidR="00286540" w:rsidRDefault="00286540"/>
    <w:sectPr w:rsidR="00286540" w:rsidSect="00B35F47">
      <w:headerReference w:type="default" r:id="rId6"/>
      <w:footerReference w:type="default" r:id="rId7"/>
      <w:footerReference w:type="first" r:id="rId8"/>
      <w:pgSz w:w="11906" w:h="16838"/>
      <w:pgMar w:top="1702"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50F9" w14:textId="77777777" w:rsidR="00B35F47" w:rsidRDefault="00B35F47" w:rsidP="00B35F47">
      <w:pPr>
        <w:spacing w:after="0" w:line="240" w:lineRule="auto"/>
      </w:pPr>
      <w:r>
        <w:separator/>
      </w:r>
    </w:p>
  </w:endnote>
  <w:endnote w:type="continuationSeparator" w:id="0">
    <w:p w14:paraId="0D2F7AC9" w14:textId="77777777" w:rsidR="00B35F47" w:rsidRDefault="00B35F47" w:rsidP="00B3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 Heavy">
    <w:altName w:val="Calibri"/>
    <w:charset w:val="00"/>
    <w:family w:val="swiss"/>
    <w:pitch w:val="variable"/>
    <w:sig w:usb0="A00022EF" w:usb1="D000A05B" w:usb2="00000008" w:usb3="00000000" w:csb0="000000DF" w:csb1="00000000"/>
  </w:font>
  <w:font w:name="Effra Light">
    <w:altName w:val="Calibri"/>
    <w:charset w:val="00"/>
    <w:family w:val="swiss"/>
    <w:pitch w:val="variable"/>
    <w:sig w:usb0="A00022EF" w:usb1="D000A05B" w:usb2="00000008" w:usb3="00000000" w:csb0="000000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color w:val="000433"/>
        <w:sz w:val="20"/>
        <w:szCs w:val="20"/>
      </w:rPr>
      <w:id w:val="85047084"/>
      <w:docPartObj>
        <w:docPartGallery w:val="Page Numbers (Bottom of Page)"/>
        <w:docPartUnique/>
      </w:docPartObj>
    </w:sdtPr>
    <w:sdtEndPr>
      <w:rPr>
        <w:noProof/>
      </w:rPr>
    </w:sdtEndPr>
    <w:sdtContent>
      <w:p w14:paraId="42C567C7" w14:textId="77777777" w:rsidR="00535344" w:rsidRPr="00E514B5" w:rsidRDefault="00535344">
        <w:pPr>
          <w:pStyle w:val="Footer"/>
          <w:jc w:val="right"/>
          <w:rPr>
            <w:rFonts w:ascii="Calibri" w:hAnsi="Calibri" w:cs="Calibri"/>
            <w:color w:val="000433"/>
            <w:sz w:val="20"/>
            <w:szCs w:val="20"/>
          </w:rPr>
        </w:pPr>
        <w:r w:rsidRPr="00E514B5">
          <w:rPr>
            <w:rFonts w:ascii="Calibri" w:hAnsi="Calibri" w:cs="Calibri"/>
            <w:color w:val="000433"/>
            <w:sz w:val="20"/>
            <w:szCs w:val="20"/>
          </w:rPr>
          <w:fldChar w:fldCharType="begin"/>
        </w:r>
        <w:r w:rsidRPr="00E514B5">
          <w:rPr>
            <w:rFonts w:ascii="Calibri" w:hAnsi="Calibri" w:cs="Calibri"/>
            <w:color w:val="000433"/>
            <w:sz w:val="20"/>
            <w:szCs w:val="20"/>
          </w:rPr>
          <w:instrText xml:space="preserve"> PAGE   \* MERGEFORMAT </w:instrText>
        </w:r>
        <w:r w:rsidRPr="00E514B5">
          <w:rPr>
            <w:rFonts w:ascii="Calibri" w:hAnsi="Calibri" w:cs="Calibri"/>
            <w:color w:val="000433"/>
            <w:sz w:val="20"/>
            <w:szCs w:val="20"/>
          </w:rPr>
          <w:fldChar w:fldCharType="separate"/>
        </w:r>
        <w:r w:rsidRPr="00E514B5">
          <w:rPr>
            <w:rFonts w:ascii="Calibri" w:hAnsi="Calibri" w:cs="Calibri"/>
            <w:noProof/>
            <w:color w:val="000433"/>
            <w:sz w:val="20"/>
            <w:szCs w:val="20"/>
          </w:rPr>
          <w:t>2</w:t>
        </w:r>
        <w:r w:rsidRPr="00E514B5">
          <w:rPr>
            <w:rFonts w:ascii="Calibri" w:hAnsi="Calibri" w:cs="Calibri"/>
            <w:noProof/>
            <w:color w:val="000433"/>
            <w:sz w:val="20"/>
            <w:szCs w:val="20"/>
          </w:rPr>
          <w:fldChar w:fldCharType="end"/>
        </w:r>
      </w:p>
    </w:sdtContent>
  </w:sdt>
  <w:p w14:paraId="2A2B1D28" w14:textId="77777777" w:rsidR="00535344" w:rsidRDefault="00535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15071"/>
      <w:docPartObj>
        <w:docPartGallery w:val="Page Numbers (Bottom of Page)"/>
        <w:docPartUnique/>
      </w:docPartObj>
    </w:sdtPr>
    <w:sdtEndPr>
      <w:rPr>
        <w:rFonts w:ascii="Calibri" w:hAnsi="Calibri" w:cs="Calibri"/>
        <w:noProof/>
      </w:rPr>
    </w:sdtEndPr>
    <w:sdtContent>
      <w:p w14:paraId="6348B402" w14:textId="77777777" w:rsidR="00535344" w:rsidRDefault="00535344">
        <w:pPr>
          <w:pStyle w:val="Footer"/>
          <w:jc w:val="right"/>
        </w:pPr>
        <w:r w:rsidRPr="00E514B5">
          <w:rPr>
            <w:rFonts w:ascii="Calibri" w:hAnsi="Calibri" w:cs="Calibri"/>
            <w:color w:val="000433"/>
            <w:sz w:val="20"/>
            <w:szCs w:val="20"/>
          </w:rPr>
          <w:fldChar w:fldCharType="begin"/>
        </w:r>
        <w:r w:rsidRPr="00E514B5">
          <w:rPr>
            <w:rFonts w:ascii="Calibri" w:hAnsi="Calibri" w:cs="Calibri"/>
            <w:color w:val="000433"/>
            <w:sz w:val="20"/>
            <w:szCs w:val="20"/>
          </w:rPr>
          <w:instrText xml:space="preserve"> PAGE   \* MERGEFORMAT </w:instrText>
        </w:r>
        <w:r w:rsidRPr="00E514B5">
          <w:rPr>
            <w:rFonts w:ascii="Calibri" w:hAnsi="Calibri" w:cs="Calibri"/>
            <w:color w:val="000433"/>
            <w:sz w:val="20"/>
            <w:szCs w:val="20"/>
          </w:rPr>
          <w:fldChar w:fldCharType="separate"/>
        </w:r>
        <w:r w:rsidRPr="00E514B5">
          <w:rPr>
            <w:rFonts w:ascii="Calibri" w:hAnsi="Calibri" w:cs="Calibri"/>
            <w:noProof/>
            <w:color w:val="000433"/>
            <w:sz w:val="20"/>
            <w:szCs w:val="20"/>
          </w:rPr>
          <w:t>2</w:t>
        </w:r>
        <w:r w:rsidRPr="00E514B5">
          <w:rPr>
            <w:rFonts w:ascii="Calibri" w:hAnsi="Calibri" w:cs="Calibri"/>
            <w:noProof/>
            <w:color w:val="000433"/>
            <w:sz w:val="20"/>
            <w:szCs w:val="20"/>
          </w:rPr>
          <w:fldChar w:fldCharType="end"/>
        </w:r>
      </w:p>
    </w:sdtContent>
  </w:sdt>
  <w:p w14:paraId="772E9E58" w14:textId="77777777" w:rsidR="00535344" w:rsidRDefault="0053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42433" w14:textId="77777777" w:rsidR="00B35F47" w:rsidRDefault="00B35F47" w:rsidP="00B35F47">
      <w:pPr>
        <w:spacing w:after="0" w:line="240" w:lineRule="auto"/>
      </w:pPr>
      <w:r>
        <w:separator/>
      </w:r>
    </w:p>
  </w:footnote>
  <w:footnote w:type="continuationSeparator" w:id="0">
    <w:p w14:paraId="4B82C040" w14:textId="77777777" w:rsidR="00B35F47" w:rsidRDefault="00B35F47" w:rsidP="00B3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5A46" w14:textId="77777777" w:rsidR="00535344" w:rsidRDefault="00535344" w:rsidP="00E514B5">
    <w:pPr>
      <w:pStyle w:val="Header"/>
      <w:tabs>
        <w:tab w:val="clear" w:pos="4513"/>
      </w:tabs>
      <w:rPr>
        <w:rFonts w:ascii="Calibri" w:hAnsi="Calibri" w:cs="Calibri"/>
        <w:b/>
        <w:bCs/>
        <w:noProof/>
        <w:color w:val="00DEB6"/>
        <w:sz w:val="44"/>
        <w:szCs w:val="44"/>
      </w:rPr>
    </w:pPr>
    <w:r>
      <w:rPr>
        <w:rFonts w:ascii="Calibri" w:hAnsi="Calibri" w:cs="Calibri"/>
        <w:b/>
        <w:bCs/>
        <w:noProof/>
        <w:color w:val="00DEB6"/>
        <w:sz w:val="44"/>
        <w:szCs w:val="44"/>
      </w:rPr>
      <w:drawing>
        <wp:anchor distT="0" distB="0" distL="114300" distR="114300" simplePos="0" relativeHeight="251660288" behindDoc="1" locked="0" layoutInCell="1" allowOverlap="1" wp14:anchorId="35789902" wp14:editId="6E92ADB4">
          <wp:simplePos x="0" y="0"/>
          <wp:positionH relativeFrom="margin">
            <wp:align>right</wp:align>
          </wp:positionH>
          <wp:positionV relativeFrom="paragraph">
            <wp:posOffset>-635</wp:posOffset>
          </wp:positionV>
          <wp:extent cx="1472211" cy="298355"/>
          <wp:effectExtent l="0" t="0" r="0" b="6985"/>
          <wp:wrapNone/>
          <wp:docPr id="1389221117" name="Picture 1389221117"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211" cy="29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BEB4D" w14:textId="77777777" w:rsidR="00535344" w:rsidRDefault="00535344" w:rsidP="00E514B5">
    <w:pPr>
      <w:pStyle w:val="Header"/>
      <w:tabs>
        <w:tab w:val="clear" w:pos="4513"/>
        <w:tab w:val="clear" w:pos="9026"/>
        <w:tab w:val="left" w:pos="324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47"/>
    <w:rsid w:val="00286540"/>
    <w:rsid w:val="00535344"/>
    <w:rsid w:val="00650E8C"/>
    <w:rsid w:val="00824CCB"/>
    <w:rsid w:val="008D3CE6"/>
    <w:rsid w:val="009A5CCF"/>
    <w:rsid w:val="00B35F47"/>
    <w:rsid w:val="00BB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2AB3"/>
  <w15:chartTrackingRefBased/>
  <w15:docId w15:val="{EE3751C6-24ED-4064-9221-795C4227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F47"/>
  </w:style>
  <w:style w:type="paragraph" w:styleId="Heading1">
    <w:name w:val="heading 1"/>
    <w:basedOn w:val="Normal"/>
    <w:next w:val="Normal"/>
    <w:link w:val="Heading1Char"/>
    <w:uiPriority w:val="9"/>
    <w:qFormat/>
    <w:rsid w:val="00B35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F47"/>
    <w:rPr>
      <w:rFonts w:eastAsiaTheme="majorEastAsia" w:cstheme="majorBidi"/>
      <w:color w:val="272727" w:themeColor="text1" w:themeTint="D8"/>
    </w:rPr>
  </w:style>
  <w:style w:type="paragraph" w:styleId="Title">
    <w:name w:val="Title"/>
    <w:basedOn w:val="Normal"/>
    <w:next w:val="Normal"/>
    <w:link w:val="TitleChar"/>
    <w:uiPriority w:val="10"/>
    <w:qFormat/>
    <w:rsid w:val="00B35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F47"/>
    <w:pPr>
      <w:spacing w:before="160"/>
      <w:jc w:val="center"/>
    </w:pPr>
    <w:rPr>
      <w:i/>
      <w:iCs/>
      <w:color w:val="404040" w:themeColor="text1" w:themeTint="BF"/>
    </w:rPr>
  </w:style>
  <w:style w:type="character" w:customStyle="1" w:styleId="QuoteChar">
    <w:name w:val="Quote Char"/>
    <w:basedOn w:val="DefaultParagraphFont"/>
    <w:link w:val="Quote"/>
    <w:uiPriority w:val="29"/>
    <w:rsid w:val="00B35F47"/>
    <w:rPr>
      <w:i/>
      <w:iCs/>
      <w:color w:val="404040" w:themeColor="text1" w:themeTint="BF"/>
    </w:rPr>
  </w:style>
  <w:style w:type="paragraph" w:styleId="ListParagraph">
    <w:name w:val="List Paragraph"/>
    <w:basedOn w:val="Normal"/>
    <w:uiPriority w:val="34"/>
    <w:qFormat/>
    <w:rsid w:val="00B35F47"/>
    <w:pPr>
      <w:ind w:left="720"/>
      <w:contextualSpacing/>
    </w:pPr>
  </w:style>
  <w:style w:type="character" w:styleId="IntenseEmphasis">
    <w:name w:val="Intense Emphasis"/>
    <w:basedOn w:val="DefaultParagraphFont"/>
    <w:uiPriority w:val="21"/>
    <w:qFormat/>
    <w:rsid w:val="00B35F47"/>
    <w:rPr>
      <w:i/>
      <w:iCs/>
      <w:color w:val="0F4761" w:themeColor="accent1" w:themeShade="BF"/>
    </w:rPr>
  </w:style>
  <w:style w:type="paragraph" w:styleId="IntenseQuote">
    <w:name w:val="Intense Quote"/>
    <w:basedOn w:val="Normal"/>
    <w:next w:val="Normal"/>
    <w:link w:val="IntenseQuoteChar"/>
    <w:uiPriority w:val="30"/>
    <w:qFormat/>
    <w:rsid w:val="00B35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F47"/>
    <w:rPr>
      <w:i/>
      <w:iCs/>
      <w:color w:val="0F4761" w:themeColor="accent1" w:themeShade="BF"/>
    </w:rPr>
  </w:style>
  <w:style w:type="character" w:styleId="IntenseReference">
    <w:name w:val="Intense Reference"/>
    <w:basedOn w:val="DefaultParagraphFont"/>
    <w:uiPriority w:val="32"/>
    <w:qFormat/>
    <w:rsid w:val="00B35F47"/>
    <w:rPr>
      <w:b/>
      <w:bCs/>
      <w:smallCaps/>
      <w:color w:val="0F4761" w:themeColor="accent1" w:themeShade="BF"/>
      <w:spacing w:val="5"/>
    </w:rPr>
  </w:style>
  <w:style w:type="paragraph" w:styleId="Header">
    <w:name w:val="header"/>
    <w:basedOn w:val="Normal"/>
    <w:link w:val="HeaderChar"/>
    <w:uiPriority w:val="99"/>
    <w:unhideWhenUsed/>
    <w:rsid w:val="00B35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F47"/>
  </w:style>
  <w:style w:type="paragraph" w:styleId="Footer">
    <w:name w:val="footer"/>
    <w:basedOn w:val="Normal"/>
    <w:link w:val="FooterChar"/>
    <w:uiPriority w:val="99"/>
    <w:unhideWhenUsed/>
    <w:rsid w:val="00B35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Palmer</dc:creator>
  <cp:keywords/>
  <dc:description/>
  <cp:lastModifiedBy>Michelle Palmer</cp:lastModifiedBy>
  <cp:revision>2</cp:revision>
  <dcterms:created xsi:type="dcterms:W3CDTF">2024-09-16T09:53:00Z</dcterms:created>
  <dcterms:modified xsi:type="dcterms:W3CDTF">2024-09-16T09:53:00Z</dcterms:modified>
</cp:coreProperties>
</file>